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B5" w:rsidRPr="00BE25E4" w:rsidRDefault="00FD2BB5" w:rsidP="00BE25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 w:themeColor="text1"/>
          <w:spacing w:val="8"/>
          <w:sz w:val="36"/>
        </w:rPr>
      </w:pPr>
      <w:r w:rsidRPr="00BE25E4">
        <w:rPr>
          <w:rStyle w:val="a4"/>
          <w:rFonts w:ascii="微软雅黑" w:eastAsia="微软雅黑" w:hAnsi="微软雅黑" w:hint="eastAsia"/>
          <w:color w:val="000000" w:themeColor="text1"/>
          <w:spacing w:val="8"/>
          <w:sz w:val="36"/>
          <w:szCs w:val="27"/>
        </w:rPr>
        <w:t>中国抗癌协会 乳腺癌专业委员会</w:t>
      </w:r>
    </w:p>
    <w:p w:rsidR="00FD2BB5" w:rsidRPr="00BE25E4" w:rsidRDefault="00FD2BB5" w:rsidP="00BE25E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000000" w:themeColor="text1"/>
          <w:spacing w:val="8"/>
          <w:sz w:val="36"/>
        </w:rPr>
      </w:pPr>
      <w:r w:rsidRPr="00BE25E4">
        <w:rPr>
          <w:rStyle w:val="a4"/>
          <w:rFonts w:ascii="微软雅黑" w:eastAsia="微软雅黑" w:hAnsi="微软雅黑" w:hint="eastAsia"/>
          <w:color w:val="000000" w:themeColor="text1"/>
          <w:spacing w:val="8"/>
          <w:sz w:val="36"/>
        </w:rPr>
        <w:t>中国抗癌协会乳腺癌诊治指南与规范</w:t>
      </w:r>
    </w:p>
    <w:p w:rsidR="00FD2BB5" w:rsidRDefault="00FD2BB5" w:rsidP="00351BD5">
      <w:pPr>
        <w:pStyle w:val="a3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3E3E3E"/>
          <w:spacing w:val="8"/>
        </w:rPr>
      </w:pPr>
      <w:r>
        <w:rPr>
          <w:rStyle w:val="a4"/>
          <w:rFonts w:ascii="微软雅黑" w:eastAsia="微软雅黑" w:hAnsi="微软雅黑" w:hint="eastAsia"/>
          <w:color w:val="888888"/>
          <w:spacing w:val="8"/>
        </w:rPr>
        <w:t>2017年版修订小组成员</w:t>
      </w:r>
    </w:p>
    <w:p w:rsidR="001777DE" w:rsidRDefault="001777DE" w:rsidP="00351BD5">
      <w:pPr>
        <w:pStyle w:val="a3"/>
        <w:shd w:val="clear" w:color="auto" w:fill="FFFFFF"/>
        <w:spacing w:before="0" w:beforeAutospacing="0" w:after="0" w:afterAutospacing="0" w:line="400" w:lineRule="exact"/>
        <w:jc w:val="both"/>
        <w:rPr>
          <w:rStyle w:val="a4"/>
          <w:rFonts w:ascii="微软雅黑" w:eastAsia="微软雅黑" w:hAnsi="微软雅黑"/>
          <w:color w:val="D84FA9"/>
          <w:spacing w:val="8"/>
          <w:sz w:val="18"/>
          <w:szCs w:val="18"/>
        </w:rPr>
        <w:sectPr w:rsidR="001777D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2BB5" w:rsidRDefault="00FD2BB5" w:rsidP="00351BD5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E3E3E"/>
          <w:spacing w:val="8"/>
        </w:rPr>
      </w:pPr>
      <w:r>
        <w:rPr>
          <w:rStyle w:val="a4"/>
          <w:rFonts w:ascii="微软雅黑" w:eastAsia="微软雅黑" w:hAnsi="微软雅黑" w:hint="eastAsia"/>
          <w:color w:val="D84FA9"/>
          <w:spacing w:val="8"/>
          <w:sz w:val="18"/>
          <w:szCs w:val="18"/>
        </w:rPr>
        <w:lastRenderedPageBreak/>
        <w:t>参加人员（以汉语拼音字母为序）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曹旭晨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　天津医科大学肿瘤医院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陈策实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　中国科学院昆明动物研究所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陈佳艺　上海交通大学医学院附属瑞金医院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崔树德　河南省肿瘤医院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范志民　吉林大学白求恩第一医院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付丽　　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天津医科大学肿瘤医院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耿翠芝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　河北医科大学第四医院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胡夕春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　复旦大学附属肿瘤医院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黄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建　　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浙江大学医学院附属第二医院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江泽飞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　军事医学科学院附属医院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姜军　　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第三军医大学第一附属医院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解云涛　北京大学肿瘤医院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金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锋　　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中国医科大学附属第一医院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李惠平　北京大学肿瘤医院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李金锋　北京大学肿瘤医院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李志高　哈尔滨医科大学附属肿瘤医院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厉红元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　重庆医科大学附属第一医院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廖宁　　广东省人民医院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刘冬耕　中山大学附属肿瘤医院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刘红　　天津医科大学肿瘤医院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刘健　　福建省肿瘤医院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刘晓安　江苏省人民医院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柳光宇　复旦大学附属肿瘤医院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马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飞　　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中国医学科学院肿瘤医院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马力　　河北医科大学第四医院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庞达　　哈尔滨医科大学附属肿瘤医院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任国胜　重庆医科大学附属第一医院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邵志敏　复旦大学附属肿瘤医院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沈镇宙　复旦大学附属肿瘤医院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盛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湲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　　第二军医大学附属长海医院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宋尔卫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　中山大学孙逸仙纪念医院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lastRenderedPageBreak/>
        <w:t>孙强　　北京协和医院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唐金海　江苏省人民医院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唐利立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　中南大学湘雅医院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佟仲生　天津医科大学肿瘤医院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王颀　　广东省妇幼保健院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王水　　江苏省人民医院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王海波　青岛大学附属医院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王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靖　　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中国医学科学院肿瘤医院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王殊　　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北京大学人民医院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王树森　中山大学附属肿瘤医院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王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曦　　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中山大学附属肿瘤医院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王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翔　　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中国医学科学院肿瘤医院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王晓稼　浙江省肿瘤医院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王永胜　山东省肿瘤医院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吴炅　　复旦大学附属肿瘤医院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吴新红　湖北省肿瘤医院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徐兵河　中国医学科学院肿瘤医院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杨红健　浙江省肿瘤医院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杨文涛　复旦大学附属肿瘤医院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殷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咏梅　江苏省人民医院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余科达　复旦大学附属肿瘤医院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俞晓立　复旦大学附属肿瘤医院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袁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芃　　中国医学科学院肿瘤医院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张宏伟　复旦大学附属中山医院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张建国　哈尔滨医科大学附属第二医院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张瑾　　天津医科大学肿瘤医院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张清媛　哈尔滨医科大学附属肿瘤医院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赵文和　浙江大学医学院附属邵逸夫医院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郑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鸿　　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四川大学华西医院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郑</w:t>
      </w:r>
      <w:proofErr w:type="gramStart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 xml:space="preserve">莹　　</w:t>
      </w:r>
      <w:proofErr w:type="gramEnd"/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复旦大学附属肿瘤医院</w:t>
      </w:r>
    </w:p>
    <w:p w:rsidR="00FD2BB5" w:rsidRDefault="00FD2BB5" w:rsidP="00351BD5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18"/>
          <w:szCs w:val="18"/>
        </w:rPr>
        <w:t>邹强　　复旦大学附属华山医院</w:t>
      </w:r>
    </w:p>
    <w:p w:rsidR="001777DE" w:rsidRDefault="001777DE" w:rsidP="00351BD5">
      <w:pPr>
        <w:widowControl/>
        <w:spacing w:line="400" w:lineRule="exact"/>
        <w:jc w:val="left"/>
        <w:rPr>
          <w:rFonts w:ascii="微软雅黑" w:eastAsia="微软雅黑" w:hAnsi="微软雅黑" w:cs="宋体"/>
          <w:b/>
          <w:bCs/>
          <w:color w:val="D84FA9"/>
          <w:spacing w:val="8"/>
          <w:kern w:val="0"/>
          <w:sz w:val="26"/>
          <w:szCs w:val="26"/>
        </w:rPr>
        <w:sectPr w:rsidR="001777DE" w:rsidSect="001777D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877D97" w:rsidRPr="00FD2BB5" w:rsidRDefault="00877D97" w:rsidP="00351BD5">
      <w:pPr>
        <w:widowControl/>
        <w:spacing w:line="400" w:lineRule="exact"/>
        <w:jc w:val="left"/>
        <w:rPr>
          <w:rFonts w:ascii="微软雅黑" w:eastAsia="微软雅黑" w:hAnsi="微软雅黑" w:cs="宋体"/>
          <w:b/>
          <w:bCs/>
          <w:color w:val="D84FA9"/>
          <w:spacing w:val="8"/>
          <w:kern w:val="0"/>
          <w:sz w:val="26"/>
          <w:szCs w:val="26"/>
        </w:rPr>
      </w:pPr>
    </w:p>
    <w:p w:rsidR="00747993" w:rsidRPr="00BE25E4" w:rsidRDefault="00747993" w:rsidP="00351BD5">
      <w:pPr>
        <w:widowControl/>
        <w:numPr>
          <w:ilvl w:val="0"/>
          <w:numId w:val="2"/>
        </w:numPr>
        <w:shd w:val="clear" w:color="auto" w:fill="FFFFFF"/>
        <w:spacing w:line="400" w:lineRule="exact"/>
        <w:ind w:left="0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BE25E4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仅供医学、药学专业人士阅读</w:t>
      </w:r>
    </w:p>
    <w:p w:rsidR="00076E2E" w:rsidRDefault="00076E2E" w:rsidP="00351BD5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b/>
          <w:bCs/>
          <w:color w:val="D84FA9"/>
          <w:spacing w:val="8"/>
          <w:kern w:val="0"/>
          <w:sz w:val="26"/>
          <w:szCs w:val="26"/>
        </w:rPr>
        <w:sectPr w:rsidR="00076E2E" w:rsidSect="001777D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757123067"/>
        <w:docPartObj>
          <w:docPartGallery w:val="Table of Contents"/>
          <w:docPartUnique/>
        </w:docPartObj>
      </w:sdtPr>
      <w:sdtEndPr/>
      <w:sdtContent>
        <w:p w:rsidR="001777DE" w:rsidRPr="0037701A" w:rsidRDefault="001777DE" w:rsidP="00351BD5">
          <w:pPr>
            <w:pStyle w:val="TOC"/>
            <w:spacing w:before="0" w:line="400" w:lineRule="exact"/>
            <w:jc w:val="center"/>
            <w:rPr>
              <w:sz w:val="32"/>
              <w:szCs w:val="32"/>
            </w:rPr>
          </w:pPr>
          <w:r w:rsidRPr="0037701A">
            <w:rPr>
              <w:sz w:val="32"/>
              <w:szCs w:val="32"/>
              <w:lang w:val="zh-CN"/>
            </w:rPr>
            <w:t>目录</w:t>
          </w:r>
        </w:p>
        <w:p w:rsidR="0037701A" w:rsidRPr="0037701A" w:rsidRDefault="001777DE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r w:rsidRPr="0037701A">
            <w:rPr>
              <w:sz w:val="32"/>
              <w:szCs w:val="32"/>
            </w:rPr>
            <w:fldChar w:fldCharType="begin"/>
          </w:r>
          <w:r w:rsidRPr="0037701A">
            <w:rPr>
              <w:sz w:val="32"/>
              <w:szCs w:val="32"/>
            </w:rPr>
            <w:instrText xml:space="preserve"> TOC \o "1-3" \h \z \u </w:instrText>
          </w:r>
          <w:r w:rsidRPr="0037701A">
            <w:rPr>
              <w:sz w:val="32"/>
              <w:szCs w:val="32"/>
            </w:rPr>
            <w:fldChar w:fldCharType="separate"/>
          </w:r>
          <w:hyperlink w:anchor="_Toc519331340" w:history="1">
            <w:r w:rsidR="0037701A" w:rsidRPr="0037701A">
              <w:rPr>
                <w:rStyle w:val="a6"/>
                <w:noProof/>
                <w:sz w:val="32"/>
                <w:szCs w:val="32"/>
              </w:rPr>
              <w:t>1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乳腺癌筛查指南（附录Ⅰ）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_Toc519331340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1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41" w:history="1">
            <w:r w:rsidR="0037701A" w:rsidRPr="0037701A">
              <w:rPr>
                <w:rStyle w:val="a6"/>
                <w:noProof/>
                <w:sz w:val="32"/>
                <w:szCs w:val="32"/>
              </w:rPr>
              <w:t>2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常规乳腺</w:t>
            </w:r>
            <w:r w:rsidR="0037701A" w:rsidRPr="0037701A">
              <w:rPr>
                <w:rStyle w:val="a6"/>
                <w:noProof/>
                <w:sz w:val="32"/>
                <w:szCs w:val="32"/>
              </w:rPr>
              <w:t>X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>线检查和报告规范（附录Ⅱ）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_Toc519331341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3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42" w:history="1">
            <w:r w:rsidR="0037701A" w:rsidRPr="0037701A">
              <w:rPr>
                <w:rStyle w:val="a6"/>
                <w:noProof/>
                <w:sz w:val="32"/>
                <w:szCs w:val="32"/>
              </w:rPr>
              <w:t>3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乳腺超声检查和报告规范（附录Ⅲ）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_Toc519331342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8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43" w:history="1">
            <w:r w:rsidR="0037701A" w:rsidRPr="0037701A">
              <w:rPr>
                <w:rStyle w:val="a6"/>
                <w:noProof/>
                <w:sz w:val="32"/>
                <w:szCs w:val="32"/>
              </w:rPr>
              <w:t>4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常规乳腺</w:t>
            </w:r>
            <w:r w:rsidR="0037701A" w:rsidRPr="0037701A">
              <w:rPr>
                <w:rStyle w:val="a6"/>
                <w:noProof/>
                <w:sz w:val="32"/>
                <w:szCs w:val="32"/>
              </w:rPr>
              <w:t>MRI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>检查和报告规范（附录Ⅳ）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_Toc519331343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13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44" w:history="1">
            <w:r w:rsidR="0037701A" w:rsidRPr="0037701A">
              <w:rPr>
                <w:rStyle w:val="a6"/>
                <w:noProof/>
                <w:sz w:val="32"/>
                <w:szCs w:val="32"/>
              </w:rPr>
              <w:t>5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影像引导下的乳腺组织学活检指南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_Toc519331344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17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45" w:history="1">
            <w:r w:rsidR="0037701A" w:rsidRPr="0037701A">
              <w:rPr>
                <w:rStyle w:val="a6"/>
                <w:noProof/>
                <w:sz w:val="32"/>
                <w:szCs w:val="32"/>
              </w:rPr>
              <w:t>6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乳腺癌术后病理诊断报告规范（附录Ⅴ）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_Toc519331345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19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46" w:history="1">
            <w:r w:rsidR="0037701A" w:rsidRPr="0037701A">
              <w:rPr>
                <w:rStyle w:val="a6"/>
                <w:noProof/>
                <w:sz w:val="32"/>
                <w:szCs w:val="32"/>
              </w:rPr>
              <w:t>7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浸润性乳腺癌保乳治疗临床指南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_Toc519331346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21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47" w:history="1">
            <w:r w:rsidR="0037701A" w:rsidRPr="0037701A">
              <w:rPr>
                <w:rStyle w:val="a6"/>
                <w:noProof/>
                <w:sz w:val="32"/>
                <w:szCs w:val="32"/>
              </w:rPr>
              <w:t>8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乳腺癌前哨淋巴结活检临床指南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_Toc519331347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25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48" w:history="1">
            <w:r w:rsidR="0037701A" w:rsidRPr="0037701A">
              <w:rPr>
                <w:rStyle w:val="a6"/>
                <w:noProof/>
                <w:sz w:val="32"/>
                <w:szCs w:val="32"/>
              </w:rPr>
              <w:t>9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乳腺癌全乳切除术后放疗临床指南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_Toc519331348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28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49" w:history="1">
            <w:r w:rsidR="0037701A" w:rsidRPr="0037701A">
              <w:rPr>
                <w:rStyle w:val="a6"/>
                <w:noProof/>
                <w:sz w:val="32"/>
                <w:szCs w:val="32"/>
              </w:rPr>
              <w:t>10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乳腺癌全身治疗指南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_Toc519331349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30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50" w:history="1">
            <w:r w:rsidR="0037701A" w:rsidRPr="0037701A">
              <w:rPr>
                <w:rStyle w:val="a6"/>
                <w:noProof/>
                <w:sz w:val="32"/>
                <w:szCs w:val="32"/>
              </w:rPr>
              <w:t>11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乳腺癌患者康复治疗共识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_Toc519331350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48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51" w:history="1">
            <w:r w:rsidR="0037701A" w:rsidRPr="0037701A">
              <w:rPr>
                <w:rStyle w:val="a6"/>
                <w:noProof/>
                <w:sz w:val="32"/>
                <w:szCs w:val="32"/>
              </w:rPr>
              <w:t>12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乳房重建与整形临床指南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_Toc519331351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51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52" w:history="1">
            <w:r w:rsidR="0037701A" w:rsidRPr="0037701A">
              <w:rPr>
                <w:rStyle w:val="a6"/>
                <w:noProof/>
                <w:sz w:val="32"/>
                <w:szCs w:val="32"/>
              </w:rPr>
              <w:t>13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乳腺原位（内）癌治疗指南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_Toc519331352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52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53" w:history="1">
            <w:r w:rsidR="0037701A" w:rsidRPr="0037701A">
              <w:rPr>
                <w:rStyle w:val="a6"/>
                <w:noProof/>
                <w:sz w:val="32"/>
                <w:szCs w:val="32"/>
              </w:rPr>
              <w:t>14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</w:t>
            </w:r>
            <w:r w:rsidR="0037701A" w:rsidRPr="0037701A">
              <w:rPr>
                <w:rStyle w:val="a6"/>
                <w:noProof/>
                <w:sz w:val="32"/>
                <w:szCs w:val="32"/>
              </w:rPr>
              <w:t>HER2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>阳性乳腺癌临床诊疗专家共识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_Toc519331353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56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54" w:history="1">
            <w:r w:rsidR="0037701A" w:rsidRPr="0037701A">
              <w:rPr>
                <w:rStyle w:val="a6"/>
                <w:noProof/>
                <w:sz w:val="32"/>
                <w:szCs w:val="32"/>
              </w:rPr>
              <w:t>15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乳腺癌局部和区域淋巴结复发诊治指南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_Toc519331354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59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37701A" w:rsidRPr="0037701A" w:rsidRDefault="001D3ED2">
          <w:pPr>
            <w:pStyle w:val="20"/>
            <w:tabs>
              <w:tab w:val="right" w:leader="dot" w:pos="8296"/>
            </w:tabs>
            <w:rPr>
              <w:noProof/>
              <w:sz w:val="32"/>
              <w:szCs w:val="32"/>
            </w:rPr>
          </w:pPr>
          <w:hyperlink w:anchor="_Toc519331355" w:history="1">
            <w:r w:rsidR="0037701A" w:rsidRPr="0037701A">
              <w:rPr>
                <w:rStyle w:val="a6"/>
                <w:noProof/>
                <w:sz w:val="32"/>
                <w:szCs w:val="32"/>
              </w:rPr>
              <w:t>16</w:t>
            </w:r>
            <w:r w:rsidR="0037701A" w:rsidRPr="0037701A">
              <w:rPr>
                <w:rStyle w:val="a6"/>
                <w:rFonts w:hint="eastAsia"/>
                <w:noProof/>
                <w:sz w:val="32"/>
                <w:szCs w:val="32"/>
              </w:rPr>
              <w:t xml:space="preserve">　乳腺癌骨转移的临床诊疗指南</w:t>
            </w:r>
            <w:r w:rsidR="0037701A" w:rsidRPr="0037701A">
              <w:rPr>
                <w:noProof/>
                <w:webHidden/>
                <w:sz w:val="32"/>
                <w:szCs w:val="32"/>
              </w:rPr>
              <w:tab/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begin"/>
            </w:r>
            <w:r w:rsidR="0037701A" w:rsidRPr="0037701A">
              <w:rPr>
                <w:noProof/>
                <w:webHidden/>
                <w:sz w:val="32"/>
                <w:szCs w:val="32"/>
              </w:rPr>
              <w:instrText xml:space="preserve"> PAGEREF _Toc519331355 \h </w:instrText>
            </w:r>
            <w:r w:rsidR="0037701A" w:rsidRPr="0037701A">
              <w:rPr>
                <w:noProof/>
                <w:webHidden/>
                <w:sz w:val="32"/>
                <w:szCs w:val="32"/>
              </w:rPr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separate"/>
            </w:r>
            <w:r w:rsidR="00E00845">
              <w:rPr>
                <w:noProof/>
                <w:webHidden/>
                <w:sz w:val="32"/>
                <w:szCs w:val="32"/>
              </w:rPr>
              <w:t>61</w:t>
            </w:r>
            <w:r w:rsidR="0037701A" w:rsidRPr="0037701A">
              <w:rPr>
                <w:noProof/>
                <w:webHidden/>
                <w:sz w:val="32"/>
                <w:szCs w:val="32"/>
              </w:rPr>
              <w:fldChar w:fldCharType="end"/>
            </w:r>
          </w:hyperlink>
        </w:p>
        <w:p w:rsidR="001777DE" w:rsidRDefault="001777DE" w:rsidP="00351BD5">
          <w:pPr>
            <w:spacing w:line="400" w:lineRule="exact"/>
          </w:pPr>
          <w:r w:rsidRPr="0037701A">
            <w:rPr>
              <w:b/>
              <w:bCs/>
              <w:sz w:val="32"/>
              <w:szCs w:val="32"/>
              <w:lang w:val="zh-CN"/>
            </w:rPr>
            <w:fldChar w:fldCharType="end"/>
          </w:r>
        </w:p>
      </w:sdtContent>
    </w:sdt>
    <w:p w:rsidR="00076E2E" w:rsidRDefault="00076E2E" w:rsidP="00351BD5">
      <w:pPr>
        <w:widowControl/>
        <w:shd w:val="clear" w:color="auto" w:fill="FFFFFF"/>
        <w:spacing w:line="400" w:lineRule="exact"/>
        <w:rPr>
          <w:rFonts w:ascii="微软雅黑" w:eastAsia="微软雅黑" w:hAnsi="微软雅黑" w:cs="宋体"/>
          <w:b/>
          <w:bCs/>
          <w:color w:val="D84FA9"/>
          <w:spacing w:val="8"/>
          <w:kern w:val="0"/>
          <w:sz w:val="26"/>
          <w:szCs w:val="26"/>
        </w:rPr>
        <w:sectPr w:rsidR="00076E2E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47993" w:rsidRPr="00D54B93" w:rsidRDefault="00747993" w:rsidP="00F77722">
      <w:pPr>
        <w:pStyle w:val="2"/>
        <w:spacing w:before="0" w:after="0" w:line="240" w:lineRule="auto"/>
        <w:rPr>
          <w:bCs w:val="0"/>
          <w:sz w:val="28"/>
          <w:szCs w:val="28"/>
        </w:rPr>
      </w:pPr>
      <w:bookmarkStart w:id="0" w:name="_Toc519331343"/>
      <w:r w:rsidRPr="00D54B93">
        <w:rPr>
          <w:rFonts w:hint="eastAsia"/>
          <w:bCs w:val="0"/>
          <w:sz w:val="28"/>
          <w:szCs w:val="28"/>
        </w:rPr>
        <w:lastRenderedPageBreak/>
        <w:t>4</w:t>
      </w:r>
      <w:r w:rsidRPr="00D54B93">
        <w:rPr>
          <w:rFonts w:hint="eastAsia"/>
          <w:bCs w:val="0"/>
          <w:sz w:val="28"/>
          <w:szCs w:val="28"/>
        </w:rPr>
        <w:t xml:space="preserve">　</w:t>
      </w:r>
      <w:r w:rsidRPr="00662EDF">
        <w:rPr>
          <w:rFonts w:hint="eastAsia"/>
          <w:bCs w:val="0"/>
          <w:sz w:val="28"/>
          <w:szCs w:val="28"/>
          <w:highlight w:val="yellow"/>
        </w:rPr>
        <w:t>常规乳腺</w:t>
      </w:r>
      <w:r w:rsidRPr="00662EDF">
        <w:rPr>
          <w:rFonts w:hint="eastAsia"/>
          <w:bCs w:val="0"/>
          <w:sz w:val="28"/>
          <w:szCs w:val="28"/>
          <w:highlight w:val="yellow"/>
        </w:rPr>
        <w:t>MRI</w:t>
      </w:r>
      <w:r w:rsidRPr="00662EDF">
        <w:rPr>
          <w:rFonts w:hint="eastAsia"/>
          <w:bCs w:val="0"/>
          <w:sz w:val="28"/>
          <w:szCs w:val="28"/>
          <w:highlight w:val="yellow"/>
        </w:rPr>
        <w:t>检查和报告规范（附录Ⅳ）</w:t>
      </w:r>
      <w:bookmarkEnd w:id="0"/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4.1　乳腺MRI检查适应证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4.1.1　乳腺癌的诊断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当乳腺X线摄影或超声检查不能确定病变性质时，可以考虑采用MRI进一步检查。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4.1.2　乳腺癌的分期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由于MRI对浸润性乳腺癌的高敏感性，有助于发现其他影像学检查所不能发现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的多灶病变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和多中心病变，有助于显示和评价癌肿对胸肌筋膜、胸大肌及胸壁的浸润等。考虑保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乳治疗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时可进行乳腺增强MRI检查。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4.1.3　新辅助化疗疗效的评估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对于确诊乳腺癌需进行新辅助化疗的患者，在治疗前、治疗中和治疗结束时MRI检查有助于对病变治疗反应进行评估，对治疗后残余病变范围的判断。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4.1.4　腋窝淋巴结转移，原发灶不明者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对于腋窝转移性淋巴结，而临床检查、X线摄影及超声都未能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明确原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发灶时，乳腺MRI有助于发现乳房内隐匿的癌灶，确定位置和范围，以便进一步治疗。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4.1.5　保乳术后复发的监测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对于乳腺癌保乳手术（包括成形术）后，临床检查、乳腺X线摄影或超声检查不能确定是否有复发的患者，MRI有助于鉴别肿瘤复发和术后瘢痕。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4.1.6　乳房成形术后随访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对于乳房假体植入术后者，MRI有助于乳腺癌的诊断和植入假体完整性的评价。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4.1.7　高危人群筛查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MRI在易发生乳腺癌的高危人群中能发现临床检查、乳腺X线摄影及超声检查阴性的乳腺癌。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4.1.8　MRI引导下的穿刺活检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 xml:space="preserve">　　MRI引导下的穿刺活检适用于仅在MRI上发现的病灶，并对此靶病灶行超声和X线片的再次确认仍不能发现异常者。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4.2　乳腺MRI检查的禁忌证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⑴妊娠期妇女。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⑵体内装有起搏器、外科金属夹子等铁磁性物质及其他不得接近强磁场者。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⑶幽闭恐惧症者。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⑷有对任何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钆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螯合物过敏史的患者。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4.3　乳腺MRI检查技术规范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4.3.1　检查前准备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4.3.1.1　临床病史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了解患者发病情况、症状、体征、家族史、高危因素、乳腺手术史、病理结果及手术日期，注明绝经前或后及月经周期，有无激素替代治疗或抗激素治疗史，有无胸部放疗史，询问患者有无前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片及其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他相关检查（包括乳腺X线摄影、乳腺超声检查）。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4.3.1.2　检查前做好乳腺MRI检查注意事项的解释和安抚患者的工作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最佳检查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时间：由于正常乳腺组织强化在月经周期的分泌期最为显著，因而推荐MRI检查尽量安排在月经周期第2周（第7～14天）进行。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4.3.2　MRI检查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4.3.2.1　设备要求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采用高场1.5T及以上的扫描机进行乳腺MRI检查，以获得较好的信噪比和脂肪抑制效果。必须采用专用的乳腺线圈，在设备条件许可的情况下，推荐采用相控阵线圈及并行采集技术，有利于双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乳同时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成像获得较好的时间和空间分辨率；同时推荐采用开放式线圈，有利于在侧方进行MRI引导的介入操作。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4.3.2.2　扫描体位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俯卧位，双侧乳房自然悬垂于乳腺线圈中央。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4.3.2.3　成像序列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一般包括横断位、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矢状位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和冠状位定位扫描，T1WI序列（包括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不抑脂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序列，以及与增强序列相同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的抑脂序列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）、T2WI序列（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加抑脂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序列）、增强扫描序列【包括横断位扫描（需要有增强前的蒙片，注入造影剂后至少连续扫描3次，时间上至少达到4min以上）和矢状位的扫描】。成像参数：扫描层厚应小于等于3mm，层面内的分辨率应小于1.5mm，单次扫描时间不应当超过2min。增强扫描要求Gd-DTPA团注，标准剂量为0.1～0.2mmol/kg，于10s内快速团注，继而快速推注0.9%氯化钠注射液10mL冲洗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4.3.2.4　绘制时间-信号强度增强曲线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注射对比剂前扫描１次，注射对比剂后共采集6～9次。将采集图像传送至工作站对病灶进行分析，将病灶最可疑的区域选为感兴趣区（ROI），应避开肉眼可见的出血、液化、坏死及囊变区，并在对侧正常乳腺组织内选取相同大小的ROI作为对照，绘制病灶的时间-信号强度增强曲线。曲线判读分两部分：早期强化和延迟强化。早期强化指注入对比剂后最初2min或曲线开始变化时的强化率，分成缓慢强化（强化率小于50%）、中等强化（50%～100%）和快速强化（大于100%）。曲线后面部分称为延迟强化，也分成3种状况：持续上升型（随时间的延长而继续强化，且大于早期强化最高点的10%）、平台型（随时间延长呈平台改变，如有轻度升高或廓清，则变化在早期强化最高点上下10%范围之内）和廓清型（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强化达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峰值后信号强度迅速下降范围大于峰值时的10%）。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4.4　诊断报告规范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参照BI-RADS标准，描述病灶形态特征和动态增强曲线特征。对强化病灶性质的分析以形态分析为首要的判断依据，对于形态特征判断困难者，需要结合时间-信号强度增强曲线进行判断。形态特征包括增强前T1WI、T2WI上的信号表现及增强后的表</w:t>
      </w: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>现。所有图像征象的描述和分析更多依赖对增强图像的分析，根据增强后形态不同将病灶定义为点状强化、肿块和非肿块强化3类。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4.4.1　点状强化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一般来说，点状强化病灶小于5mm，不具有明显的占位效应，难以对其形状及边缘加以描述，并且在平扫时多不显示。可以多发，但不聚集成簇。点状强化可能由腺体局限性增生所引起，也可以是乳头状瘤、纤维腺瘤及乳内淋巴结，也可能是浸润癌、DCIS等恶性病变。形态可疑、或新发、或较前增大者可建议活检，否则予以随访。恶性概率小于3%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4.4.2　肿块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具有三维空间的占位性病变，伴或不伴周围正常组织移位或浸润。从形态（圆形、卵圆形和不规则形）、边缘（光整、不规则和星芒状）和内部强化情况（均匀、不均匀、环形强化和低信号分隔）3个方面来描述。不规则的形态，不规则和星芒状的边缘，内部强化不均匀，以及不规则的环形强化是偏恶性的征象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4.4.3　非肿块强化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当乳腺内出现既非点状亦非肿块的强化时，即为非肿块强化，一般占位效应不明显，并与周围正常的乳腺实质强化不同。对其分类主要依据其形态特征（线状、局灶性、段样、区域性、多区域和弥漫性）、内部强化特征（均匀、不均匀、集群卵石样和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簇状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小环样强化）及病灶是否双侧对称，双侧对称的非肿块强化可能是一种良性改变。形态中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的线样强化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如沿着导管走行，并且出现分支，则为偏恶性的征象，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段样强化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也是偏恶性的征象。内部增强特征中的集群卵石样强化和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簇状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小环样强化为偏恶性的征象。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4.4.4　其他征象和伴随征象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其他征象有乳内淋巴结，皮肤上的病变，含脂肪的病变，一些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不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强化的病灶如T1WI增强前高信号的导管、囊肿、血肿及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不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强化的肿块等。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 xml:space="preserve">　　伴随征象有乳头内陷及侵犯，皮肤增厚、内陷和侵犯，胸肌侵犯，淋巴结异常等。伴随征象可与其他异常征象一同出现，亦可单独出现。发现伴随征象的意义在于：当与其他异常征象同时出现时，可提高乳腺癌的诊断权重。当确诊为乳腺癌时，某些伴随征象的出现将有助于术前分期及手术方式选择的判断。</w:t>
      </w:r>
    </w:p>
    <w:p w:rsidR="0037701A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</w:p>
    <w:p w:rsidR="0037701A" w:rsidRDefault="0037701A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</w:p>
    <w:p w:rsidR="0037701A" w:rsidRDefault="0037701A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4.4.5　病灶定位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⑴病变位于哪一侧乳房。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⑵定位：外上、外下、内上和内下4个象限，这4个区域也可以面向观察者进行钟面定位，另外3个区域则不需要结合钟面定位，分别是乳晕下区、中央区和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尾叶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区。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⑶病变的深度：在横断位或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矢状位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上，与胸壁平行分浅、中、后3个区域，给病灶进行深度定位；同时测量病变与乳头的距离。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4.5　乳腺MRI报告的组成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乳腺的MRI报告应包括病史、与既往检查片对比、扫描技术、乳房的纤维腺体构成、背景强化及任何相关的影像发现，最后是评估分类和处理建议。报告措辞应当简洁，使用术语词典里的标准词汇。可行的话MRI诊断报告应当注重与X线和超声检查结果相参照，特别是对MRI阳性</w:t>
      </w:r>
      <w:proofErr w:type="gramStart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发现与触诊</w:t>
      </w:r>
      <w:proofErr w:type="gramEnd"/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、X线和超声检查的阳性发现在空间位置的对应关系是否一致性的评估，对非一致的病灶尤其需要强调，以引起临床医师的关注。注重背景强化对MRI检出敏感性的影响，背景强化分成轻微、轻度、中度和明显四等。随着注入对比剂后时间的延长，背景强化的程度和范围会逐渐增大，并且两侧对称。总体上明显的背景强化会增加“回叫率”，但是恶性病灶的检出并不会受太大的影响。与乳腺X线检查一样，BI-RADS分类对病变的MRI评估及处理建议也分为0～6共七个类别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lastRenderedPageBreak/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4.5.1　评估是不完全的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Fonts w:ascii="微软雅黑" w:eastAsia="微软雅黑" w:hAnsi="微软雅黑" w:hint="eastAsia"/>
          <w:color w:val="D84FA9"/>
          <w:spacing w:val="8"/>
          <w:sz w:val="28"/>
          <w:szCs w:val="28"/>
        </w:rPr>
        <w:t>BI-RADS0</w:t>
      </w: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：需要进一步影像评估。一般MRI检查后较少用这个级别；但在一些特殊的情况下，如使用合适的扫描技术再做1次MRI检查，结合外院的乳腺X线和超声检查结果，或与乳腺既往病史相结合等情况下可以用这个评估。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Style w:val="a4"/>
          <w:rFonts w:ascii="微软雅黑" w:eastAsia="微软雅黑" w:hAnsi="微软雅黑" w:hint="eastAsia"/>
          <w:color w:val="D84FA9"/>
          <w:spacing w:val="8"/>
          <w:sz w:val="28"/>
          <w:szCs w:val="28"/>
        </w:rPr>
        <w:t>4.5.2　评估是完全的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Fonts w:ascii="微软雅黑" w:eastAsia="微软雅黑" w:hAnsi="微软雅黑" w:hint="eastAsia"/>
          <w:color w:val="D84FA9"/>
          <w:spacing w:val="8"/>
          <w:sz w:val="28"/>
          <w:szCs w:val="28"/>
        </w:rPr>
        <w:t>BI-RADS1</w:t>
      </w: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：阴性。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Fonts w:ascii="微软雅黑" w:eastAsia="微软雅黑" w:hAnsi="微软雅黑" w:hint="eastAsia"/>
          <w:color w:val="D84FA9"/>
          <w:spacing w:val="8"/>
          <w:sz w:val="28"/>
          <w:szCs w:val="28"/>
        </w:rPr>
        <w:t>BI-RADS2</w:t>
      </w: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：良性病变，如无强化的纤维腺瘤、囊肿、无强化的陈旧性瘢痕、乳腺假体，以及含脂肪的病变如油性囊肿、脂肪瘤、错构瘤等。无恶性征象发现。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Fonts w:ascii="微软雅黑" w:eastAsia="微软雅黑" w:hAnsi="微软雅黑" w:hint="eastAsia"/>
          <w:color w:val="D84FA9"/>
          <w:spacing w:val="8"/>
          <w:sz w:val="28"/>
          <w:szCs w:val="28"/>
        </w:rPr>
        <w:t>BI-RADS3</w:t>
      </w: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：可能是良性病变，建议短期随访，恶性的可能性非常低，小于2%。良性可能性非常大，但需要通过随访确认其稳定性。较可疑者可3个月后随访，一般是6个月后复查。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Fonts w:ascii="微软雅黑" w:eastAsia="微软雅黑" w:hAnsi="微软雅黑" w:hint="eastAsia"/>
          <w:color w:val="D84FA9"/>
          <w:spacing w:val="8"/>
          <w:sz w:val="28"/>
          <w:szCs w:val="28"/>
        </w:rPr>
        <w:t>BI-RADS4</w:t>
      </w: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：可疑恶性，要考虑活检。不具有乳腺癌的典型表现，但不能排除乳腺癌的可能性，建议做活检，此类病灶的恶性可能性为2%～95%。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Fonts w:ascii="微软雅黑" w:eastAsia="微软雅黑" w:hAnsi="微软雅黑" w:hint="eastAsia"/>
          <w:color w:val="D84FA9"/>
          <w:spacing w:val="8"/>
          <w:sz w:val="28"/>
          <w:szCs w:val="28"/>
        </w:rPr>
        <w:t>BI-RADS5</w:t>
      </w: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：高度怀疑恶性，应进行临床干预（恶性可能性大于等于95%）。</w:t>
      </w:r>
    </w:p>
    <w:p w:rsidR="00747993" w:rsidRPr="001777DE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</w:rPr>
      </w:pP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 xml:space="preserve">　　</w:t>
      </w:r>
      <w:r w:rsidRPr="001777DE">
        <w:rPr>
          <w:rFonts w:ascii="微软雅黑" w:eastAsia="微软雅黑" w:hAnsi="微软雅黑" w:hint="eastAsia"/>
          <w:color w:val="D84FA9"/>
          <w:spacing w:val="8"/>
          <w:sz w:val="28"/>
          <w:szCs w:val="28"/>
        </w:rPr>
        <w:t>BI-RADS6</w:t>
      </w:r>
      <w:r w:rsidRPr="001777DE">
        <w:rPr>
          <w:rFonts w:ascii="微软雅黑" w:eastAsia="微软雅黑" w:hAnsi="微软雅黑" w:hint="eastAsia"/>
          <w:color w:val="333333"/>
          <w:spacing w:val="8"/>
          <w:sz w:val="28"/>
          <w:szCs w:val="28"/>
        </w:rPr>
        <w:t>：已活检证实为恶性，但是还是需要再做扩大手术的病例，MRI检查的目的是评估是否有残存病灶。</w:t>
      </w:r>
    </w:p>
    <w:p w:rsidR="00747993" w:rsidRPr="00662EDF" w:rsidRDefault="00747993" w:rsidP="00F7772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8"/>
          <w:szCs w:val="28"/>
          <w:highlight w:val="yellow"/>
        </w:rPr>
      </w:pPr>
      <w:r w:rsidRPr="001777DE">
        <w:rPr>
          <w:rStyle w:val="a4"/>
          <w:rFonts w:ascii="微软雅黑" w:eastAsia="微软雅黑" w:hAnsi="微软雅黑" w:hint="eastAsia"/>
          <w:color w:val="333333"/>
          <w:spacing w:val="8"/>
          <w:sz w:val="28"/>
          <w:szCs w:val="28"/>
        </w:rPr>
        <w:t>注</w:t>
      </w:r>
      <w:r w:rsidRPr="00DA1CF5">
        <w:rPr>
          <w:rStyle w:val="a4"/>
          <w:rFonts w:ascii="微软雅黑" w:eastAsia="微软雅黑" w:hAnsi="微软雅黑" w:hint="eastAsia"/>
          <w:color w:val="333333"/>
          <w:spacing w:val="8"/>
          <w:sz w:val="28"/>
          <w:szCs w:val="28"/>
        </w:rPr>
        <w:t>：本规范的制定，来源于美国放射学会的BI-RADS第5版。</w:t>
      </w:r>
    </w:p>
    <w:p w:rsidR="00747993" w:rsidRPr="00DA1CF5" w:rsidRDefault="00747993" w:rsidP="00F77722">
      <w:pPr>
        <w:rPr>
          <w:sz w:val="28"/>
          <w:szCs w:val="28"/>
        </w:rPr>
      </w:pPr>
      <w:bookmarkStart w:id="1" w:name="_GoBack"/>
      <w:bookmarkEnd w:id="1"/>
      <w:r w:rsidRPr="00662EDF">
        <w:rPr>
          <w:noProof/>
          <w:sz w:val="28"/>
          <w:szCs w:val="28"/>
          <w:highlight w:val="yellow"/>
        </w:rPr>
        <w:lastRenderedPageBreak/>
        <w:drawing>
          <wp:inline distT="0" distB="0" distL="0" distR="0" wp14:anchorId="7BF253EE" wp14:editId="1A8AD33D">
            <wp:extent cx="6755642" cy="9120744"/>
            <wp:effectExtent l="0" t="0" r="762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76061" cy="914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7993" w:rsidRPr="00DA1CF5" w:rsidSect="00F77722">
      <w:pgSz w:w="11906" w:h="16838"/>
      <w:pgMar w:top="170" w:right="198" w:bottom="289" w:left="56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D2" w:rsidRDefault="001D3ED2" w:rsidP="001777DE">
      <w:r>
        <w:separator/>
      </w:r>
    </w:p>
  </w:endnote>
  <w:endnote w:type="continuationSeparator" w:id="0">
    <w:p w:rsidR="001D3ED2" w:rsidRDefault="001D3ED2" w:rsidP="0017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B2" w:rsidRDefault="006613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D2" w:rsidRDefault="001D3ED2" w:rsidP="001777DE">
      <w:r>
        <w:separator/>
      </w:r>
    </w:p>
  </w:footnote>
  <w:footnote w:type="continuationSeparator" w:id="0">
    <w:p w:rsidR="001D3ED2" w:rsidRDefault="001D3ED2" w:rsidP="00177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2DB1"/>
    <w:multiLevelType w:val="multilevel"/>
    <w:tmpl w:val="285E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1853F3"/>
    <w:multiLevelType w:val="multilevel"/>
    <w:tmpl w:val="C7B8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0E34F9"/>
    <w:multiLevelType w:val="multilevel"/>
    <w:tmpl w:val="DB3C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B8655D"/>
    <w:multiLevelType w:val="multilevel"/>
    <w:tmpl w:val="FD8EF5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CB066D2"/>
    <w:multiLevelType w:val="multilevel"/>
    <w:tmpl w:val="A53E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CD5EF1"/>
    <w:multiLevelType w:val="multilevel"/>
    <w:tmpl w:val="3B1A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B50DA"/>
    <w:multiLevelType w:val="multilevel"/>
    <w:tmpl w:val="22C4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1E1FAF"/>
    <w:multiLevelType w:val="multilevel"/>
    <w:tmpl w:val="8C10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C8766A"/>
    <w:multiLevelType w:val="multilevel"/>
    <w:tmpl w:val="2AD2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6321C9"/>
    <w:multiLevelType w:val="multilevel"/>
    <w:tmpl w:val="82D8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695C84"/>
    <w:multiLevelType w:val="multilevel"/>
    <w:tmpl w:val="EB1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105B38"/>
    <w:multiLevelType w:val="multilevel"/>
    <w:tmpl w:val="7202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32B2D"/>
    <w:multiLevelType w:val="multilevel"/>
    <w:tmpl w:val="2220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7F5ADA"/>
    <w:multiLevelType w:val="multilevel"/>
    <w:tmpl w:val="6F28D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125905"/>
    <w:multiLevelType w:val="multilevel"/>
    <w:tmpl w:val="AE02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4BD51CD"/>
    <w:multiLevelType w:val="multilevel"/>
    <w:tmpl w:val="CBDC45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0"/>
  </w:num>
  <w:num w:numId="9">
    <w:abstractNumId w:val="14"/>
  </w:num>
  <w:num w:numId="10">
    <w:abstractNumId w:val="9"/>
  </w:num>
  <w:num w:numId="11">
    <w:abstractNumId w:val="8"/>
  </w:num>
  <w:num w:numId="12">
    <w:abstractNumId w:val="3"/>
  </w:num>
  <w:num w:numId="13">
    <w:abstractNumId w:val="7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60"/>
    <w:rsid w:val="00076E2E"/>
    <w:rsid w:val="000E7FC0"/>
    <w:rsid w:val="001238B4"/>
    <w:rsid w:val="001777DE"/>
    <w:rsid w:val="001D3ED2"/>
    <w:rsid w:val="002057C5"/>
    <w:rsid w:val="00351BD5"/>
    <w:rsid w:val="0037701A"/>
    <w:rsid w:val="003A5C8F"/>
    <w:rsid w:val="004C44AF"/>
    <w:rsid w:val="0053180A"/>
    <w:rsid w:val="006613B2"/>
    <w:rsid w:val="00662EDF"/>
    <w:rsid w:val="00747993"/>
    <w:rsid w:val="007F7230"/>
    <w:rsid w:val="00877D97"/>
    <w:rsid w:val="00970760"/>
    <w:rsid w:val="009E54AD"/>
    <w:rsid w:val="00A0431D"/>
    <w:rsid w:val="00B37D21"/>
    <w:rsid w:val="00BE25E4"/>
    <w:rsid w:val="00C0231A"/>
    <w:rsid w:val="00D54B93"/>
    <w:rsid w:val="00DA1CF5"/>
    <w:rsid w:val="00E00845"/>
    <w:rsid w:val="00F231CF"/>
    <w:rsid w:val="00F77722"/>
    <w:rsid w:val="00FB17C0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77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6E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799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4799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4799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76E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777D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1777D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1777DE"/>
    <w:pPr>
      <w:ind w:leftChars="200" w:left="420"/>
    </w:pPr>
  </w:style>
  <w:style w:type="character" w:styleId="a6">
    <w:name w:val="Hyperlink"/>
    <w:basedOn w:val="a0"/>
    <w:uiPriority w:val="99"/>
    <w:unhideWhenUsed/>
    <w:rsid w:val="001777DE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177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777D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77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777DE"/>
    <w:rPr>
      <w:sz w:val="18"/>
      <w:szCs w:val="18"/>
    </w:rPr>
  </w:style>
  <w:style w:type="paragraph" w:styleId="a9">
    <w:name w:val="List Paragraph"/>
    <w:basedOn w:val="a"/>
    <w:uiPriority w:val="34"/>
    <w:qFormat/>
    <w:rsid w:val="00BE25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77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76E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9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7993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4799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4799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76E2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1777D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1777D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1777DE"/>
    <w:pPr>
      <w:ind w:leftChars="200" w:left="420"/>
    </w:pPr>
  </w:style>
  <w:style w:type="character" w:styleId="a6">
    <w:name w:val="Hyperlink"/>
    <w:basedOn w:val="a0"/>
    <w:uiPriority w:val="99"/>
    <w:unhideWhenUsed/>
    <w:rsid w:val="001777DE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177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1777D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177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1777DE"/>
    <w:rPr>
      <w:sz w:val="18"/>
      <w:szCs w:val="18"/>
    </w:rPr>
  </w:style>
  <w:style w:type="paragraph" w:styleId="a9">
    <w:name w:val="List Paragraph"/>
    <w:basedOn w:val="a"/>
    <w:uiPriority w:val="34"/>
    <w:qFormat/>
    <w:rsid w:val="00BE25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73E3-75DF-4A72-9118-2FCCCFBB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937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hnhtyy</dc:creator>
  <cp:keywords/>
  <dc:description/>
  <cp:lastModifiedBy>hnhtyy</cp:lastModifiedBy>
  <cp:revision>15</cp:revision>
  <cp:lastPrinted>2018-07-14T03:48:00Z</cp:lastPrinted>
  <dcterms:created xsi:type="dcterms:W3CDTF">2018-06-22T07:36:00Z</dcterms:created>
  <dcterms:modified xsi:type="dcterms:W3CDTF">2018-08-11T04:24:00Z</dcterms:modified>
</cp:coreProperties>
</file>